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AB34" w14:textId="361F4684" w:rsidR="00E7064B" w:rsidRDefault="00E7064B" w:rsidP="00E706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COMUNICAZIONE URGENTE</w:t>
      </w:r>
    </w:p>
    <w:p w14:paraId="68E0FBC9" w14:textId="3D456CAE" w:rsidR="008E379D" w:rsidRDefault="008E379D" w:rsidP="00E706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REVISIONE PERDIODICA DELL’ALBO CTU</w:t>
      </w:r>
    </w:p>
    <w:p w14:paraId="275DE405" w14:textId="693D6175" w:rsidR="00E7064B" w:rsidRDefault="00E7064B" w:rsidP="00E706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FB0A6A" w:rsidRPr="00FC6D6D">
        <w:rPr>
          <w:b/>
          <w:bCs/>
          <w:sz w:val="28"/>
          <w:szCs w:val="28"/>
        </w:rPr>
        <w:t xml:space="preserve">onferma iscrizione entro </w:t>
      </w:r>
      <w:r>
        <w:rPr>
          <w:b/>
          <w:bCs/>
          <w:sz w:val="28"/>
          <w:szCs w:val="28"/>
        </w:rPr>
        <w:t>il giorno 11 maggio 2026</w:t>
      </w:r>
    </w:p>
    <w:p w14:paraId="48B364E5" w14:textId="77777777" w:rsidR="00E7064B" w:rsidRDefault="00E7064B" w:rsidP="00CF1656">
      <w:pPr>
        <w:jc w:val="both"/>
        <w:rPr>
          <w:b/>
          <w:bCs/>
          <w:sz w:val="28"/>
          <w:szCs w:val="28"/>
        </w:rPr>
      </w:pPr>
    </w:p>
    <w:p w14:paraId="78CF4E88" w14:textId="476F542F" w:rsidR="00D02451" w:rsidRDefault="00D02451" w:rsidP="00CF1656">
      <w:pPr>
        <w:jc w:val="both"/>
      </w:pPr>
      <w:r>
        <w:t xml:space="preserve">Nel 2024 è avvenuto il passaggio dal cartaceo al digitale degli </w:t>
      </w:r>
      <w:r w:rsidR="00CF1656">
        <w:t>A</w:t>
      </w:r>
      <w:r>
        <w:t>lbi dei CTU de</w:t>
      </w:r>
      <w:r w:rsidR="002249D8">
        <w:t>l Tribunale Ordinario</w:t>
      </w:r>
      <w:r>
        <w:t xml:space="preserve">, secondo il </w:t>
      </w:r>
      <w:proofErr w:type="spellStart"/>
      <w:r>
        <w:t>D.Lgs.</w:t>
      </w:r>
      <w:proofErr w:type="spellEnd"/>
      <w:r>
        <w:t xml:space="preserve"> 10 ottobre 2022, n. 149 (Riforma Cartabia).</w:t>
      </w:r>
    </w:p>
    <w:p w14:paraId="62012957" w14:textId="46C1DEE8" w:rsidR="00D02451" w:rsidRDefault="00D02451" w:rsidP="00CF1656">
      <w:pPr>
        <w:jc w:val="both"/>
      </w:pPr>
      <w:r>
        <w:t>Il passaggio al digitale per i Consulenti Tecnici d'Ufficio (CTU) e per i Periti presso i Tribunali italiani è stato una svolta storica: tutti i passaggi relativi all'iscrizione all’</w:t>
      </w:r>
      <w:r w:rsidR="00CF1656">
        <w:t>A</w:t>
      </w:r>
      <w:r>
        <w:t xml:space="preserve">lbo, alla nomina e al deposito degli elaborati peritali avvengono tramite tecnologie telematiche. Dal 4 marzo 2024 gli </w:t>
      </w:r>
      <w:r w:rsidR="00CF1656">
        <w:t>A</w:t>
      </w:r>
      <w:r>
        <w:t xml:space="preserve">lbi cartacei non sono più validi e sono stati sostituiti dal nuovo Portale Albo CTU, Periti </w:t>
      </w:r>
      <w:r w:rsidR="002A4DAF">
        <w:t>con</w:t>
      </w:r>
      <w:r>
        <w:t xml:space="preserve"> Elenco Nazionale.</w:t>
      </w:r>
    </w:p>
    <w:p w14:paraId="6DF812D1" w14:textId="5741FE42" w:rsidR="00D02451" w:rsidRDefault="002249D8" w:rsidP="00CF1656">
      <w:pPr>
        <w:jc w:val="both"/>
      </w:pPr>
      <w:r>
        <w:t xml:space="preserve">In via ordinaria, </w:t>
      </w:r>
      <w:r w:rsidR="00D02451">
        <w:t>Le domande di iscrizione all’Albo CTU devono essere presentate online sul portale dei servizi telematici del Ministero della Giustizia, con due finestre temporali: dal 1° marzo al 30 aprile e dal 1° settembre al 31 ottobre.</w:t>
      </w:r>
    </w:p>
    <w:p w14:paraId="64AD8CC4" w14:textId="60F6DC5A" w:rsidR="00D02451" w:rsidRDefault="00D02451" w:rsidP="00CF1656">
      <w:pPr>
        <w:jc w:val="both"/>
      </w:pPr>
      <w:r>
        <w:t>Per i periti, invece, non esistono specifiche finestre temporali: la domanda può essere presentata in qualsiasi momento.</w:t>
      </w:r>
    </w:p>
    <w:p w14:paraId="12C86CFC" w14:textId="3CDE9D32" w:rsidR="00D02451" w:rsidRDefault="00D02451" w:rsidP="00CF1656">
      <w:pPr>
        <w:jc w:val="both"/>
      </w:pPr>
      <w:r w:rsidRPr="00D02451">
        <w:t xml:space="preserve">Nel 2024 tutti hanno </w:t>
      </w:r>
      <w:r w:rsidR="002A4DAF">
        <w:t>eseguito una procedura di migrazione</w:t>
      </w:r>
      <w:r w:rsidRPr="00D02451">
        <w:t xml:space="preserve"> sul portale digitale. Chi non ha effettuato la migrazione ha dovuto presentare una nuova domanda di iscrizione con successiva valutazione da parte della </w:t>
      </w:r>
      <w:r>
        <w:t>C</w:t>
      </w:r>
      <w:r w:rsidRPr="00D02451">
        <w:t xml:space="preserve">ommissione </w:t>
      </w:r>
      <w:r w:rsidR="00CF1656">
        <w:t>A</w:t>
      </w:r>
      <w:r w:rsidRPr="00D02451">
        <w:t>lbi, che ha verificato i requisiti di iscrizione secondo il DM 109/2023. Tale decreto prevede infatti che l’iscrizione negli elenchi nazionali sia soggetta a verifica e aggiornamento periodico, con l’obbligo per il professionista di confermare il possesso dei requisiti dichiarati</w:t>
      </w:r>
      <w:r w:rsidR="0014045A">
        <w:t xml:space="preserve"> (</w:t>
      </w:r>
      <w:hyperlink r:id="rId5" w:history="1">
        <w:r w:rsidR="0014045A" w:rsidRPr="0014045A">
          <w:rPr>
            <w:rStyle w:val="Collegamentoipertestuale"/>
          </w:rPr>
          <w:t>art. 4, DM 109/2023</w:t>
        </w:r>
      </w:hyperlink>
      <w:r w:rsidR="0014045A">
        <w:t xml:space="preserve">) </w:t>
      </w:r>
    </w:p>
    <w:p w14:paraId="5B516911" w14:textId="77777777" w:rsidR="00E86662" w:rsidRDefault="00E86662" w:rsidP="00CF1656">
      <w:pPr>
        <w:jc w:val="both"/>
      </w:pPr>
    </w:p>
    <w:p w14:paraId="165FEDEB" w14:textId="6299C7B8" w:rsidR="00D02451" w:rsidRDefault="00E7064B" w:rsidP="00CF1656">
      <w:pPr>
        <w:jc w:val="both"/>
        <w:rPr>
          <w:b/>
          <w:bCs/>
        </w:rPr>
      </w:pPr>
      <w:r w:rsidRPr="00E7064B">
        <w:rPr>
          <w:b/>
          <w:bCs/>
        </w:rPr>
        <w:t>MAGGIO  2026</w:t>
      </w:r>
      <w:r w:rsidR="00D02451" w:rsidRPr="00E7064B">
        <w:rPr>
          <w:b/>
          <w:bCs/>
        </w:rPr>
        <w:t xml:space="preserve"> sarà il momento della prima conferma dell’iscrizione avvenuta nel 2024, e così sarà ogni due anni. Chi non presenta la domanda di conferma entro</w:t>
      </w:r>
      <w:r w:rsidRPr="00E7064B">
        <w:rPr>
          <w:b/>
          <w:bCs/>
        </w:rPr>
        <w:t xml:space="preserve"> la data di scadenza</w:t>
      </w:r>
      <w:r w:rsidR="00D02451" w:rsidRPr="00E7064B">
        <w:rPr>
          <w:b/>
          <w:bCs/>
        </w:rPr>
        <w:t>, secondo la scansione temporale collegata alla data di iscrizione registrata nel portale ministeriale, e contenente i requisiti richiesti, sarà eliminato dagli elenchi.</w:t>
      </w:r>
    </w:p>
    <w:p w14:paraId="408FBC1B" w14:textId="77777777" w:rsidR="00753C81" w:rsidRPr="00E7064B" w:rsidRDefault="00753C81" w:rsidP="00CF1656">
      <w:pPr>
        <w:jc w:val="both"/>
        <w:rPr>
          <w:b/>
          <w:bCs/>
        </w:rPr>
      </w:pPr>
    </w:p>
    <w:p w14:paraId="5D53C8F6" w14:textId="095E321C" w:rsidR="00E86662" w:rsidRDefault="00E7064B" w:rsidP="00CF1656">
      <w:pPr>
        <w:jc w:val="both"/>
      </w:pPr>
      <w:r>
        <w:t>A</w:t>
      </w:r>
      <w:r w:rsidR="00E86662" w:rsidRPr="00E86662">
        <w:t xml:space="preserve"> norma dell'art 6 del DM 109 del 2023 </w:t>
      </w:r>
      <w:r w:rsidR="008E379D">
        <w:t xml:space="preserve">n. 109, e 18 disp. Att. c.p.c., </w:t>
      </w:r>
      <w:r w:rsidR="00E86662" w:rsidRPr="00E86662">
        <w:t>l</w:t>
      </w:r>
      <w:r w:rsidR="008773FE">
        <w:t>a Cancelleria dell’</w:t>
      </w:r>
      <w:r w:rsidR="00753C81">
        <w:t>Uffici</w:t>
      </w:r>
      <w:r w:rsidR="008773FE">
        <w:t>o</w:t>
      </w:r>
      <w:r w:rsidR="00753C81">
        <w:t xml:space="preserve"> CTU sta inviando</w:t>
      </w:r>
      <w:r w:rsidR="00E86662" w:rsidRPr="00E86662">
        <w:t xml:space="preserve"> via </w:t>
      </w:r>
      <w:proofErr w:type="spellStart"/>
      <w:r w:rsidR="00E86662" w:rsidRPr="00E86662">
        <w:t>pec</w:t>
      </w:r>
      <w:proofErr w:type="spellEnd"/>
      <w:r w:rsidR="00E86662" w:rsidRPr="00E86662">
        <w:t xml:space="preserve"> </w:t>
      </w:r>
      <w:r>
        <w:t>una comunicazione</w:t>
      </w:r>
      <w:r w:rsidR="00E86662" w:rsidRPr="00E86662">
        <w:t xml:space="preserve"> per presentare la domanda di conferma</w:t>
      </w:r>
      <w:r w:rsidR="008E379D">
        <w:t xml:space="preserve"> dell’iscrizione già in essere.</w:t>
      </w:r>
    </w:p>
    <w:p w14:paraId="64736AA0" w14:textId="6E6DE64A" w:rsidR="00753C81" w:rsidRDefault="00753C81" w:rsidP="00CF1656">
      <w:pPr>
        <w:jc w:val="both"/>
        <w:rPr>
          <w:b/>
          <w:bCs/>
        </w:rPr>
      </w:pPr>
      <w:r w:rsidRPr="00753C81">
        <w:rPr>
          <w:b/>
          <w:bCs/>
        </w:rPr>
        <w:t xml:space="preserve">La domanda dovrà essere presentata entro e non oltre il giorno 11 maggio 2026, accedendo al portale </w:t>
      </w:r>
      <w:hyperlink r:id="rId6" w:history="1">
        <w:r w:rsidRPr="00DC78C4">
          <w:rPr>
            <w:rStyle w:val="Collegamentoipertestuale"/>
            <w:b/>
            <w:bCs/>
          </w:rPr>
          <w:t>“Gestione Albi, elenchi CTU e altri ausiliari”</w:t>
        </w:r>
      </w:hyperlink>
      <w:r w:rsidRPr="00753C81">
        <w:rPr>
          <w:b/>
          <w:bCs/>
        </w:rPr>
        <w:t xml:space="preserve"> con le proprie credenziali, cliccando sulla voce di menu “Iscrizioni” e poi sul pulsante relativo alla funzionalità “Compila la domanda di conferma inscrizione” in corrispondenza dell’iscrizione all’Albo CTU per cui è richiesta la conferma.</w:t>
      </w:r>
    </w:p>
    <w:p w14:paraId="12F418C2" w14:textId="77777777" w:rsidR="00DC78C4" w:rsidRPr="00753C81" w:rsidRDefault="00DC78C4" w:rsidP="00CF1656">
      <w:pPr>
        <w:jc w:val="both"/>
        <w:rPr>
          <w:b/>
          <w:bCs/>
        </w:rPr>
      </w:pPr>
    </w:p>
    <w:p w14:paraId="2A57F087" w14:textId="14FD5F2D" w:rsidR="00753C81" w:rsidRDefault="008E379D" w:rsidP="00CF1656">
      <w:pPr>
        <w:jc w:val="both"/>
      </w:pPr>
      <w:r w:rsidRPr="00DC78C4">
        <w:rPr>
          <w:highlight w:val="yellow"/>
        </w:rPr>
        <w:t>Si ribadisce che la mancata presentazione della domanda di conferma entro il termine indicato equivale a manifestazione della volontà di non mantenere l’iscrizione all’Albo.</w:t>
      </w:r>
    </w:p>
    <w:p w14:paraId="5738FB7E" w14:textId="4014E8D1" w:rsidR="002249D8" w:rsidRDefault="002249D8" w:rsidP="00CF1656">
      <w:pPr>
        <w:jc w:val="both"/>
      </w:pPr>
    </w:p>
    <w:p w14:paraId="5A1FF3E0" w14:textId="52775854" w:rsidR="002249D8" w:rsidRDefault="002249D8" w:rsidP="00CF1656">
      <w:pPr>
        <w:jc w:val="both"/>
      </w:pPr>
      <w:r>
        <w:t xml:space="preserve">Dott. Musa Awad – Delegato Ordinistico alla Tenuta degli Albi </w:t>
      </w:r>
      <w:r w:rsidR="008773FE">
        <w:t>CTU e Periti</w:t>
      </w:r>
    </w:p>
    <w:p w14:paraId="47847DEF" w14:textId="647D235F" w:rsidR="008773FE" w:rsidRDefault="008773FE" w:rsidP="00CF1656">
      <w:pPr>
        <w:jc w:val="both"/>
      </w:pPr>
      <w:r>
        <w:t xml:space="preserve">Dott. Antonio Magi – Presidente </w:t>
      </w:r>
      <w:proofErr w:type="spellStart"/>
      <w:r>
        <w:t>Omceo</w:t>
      </w:r>
      <w:proofErr w:type="spellEnd"/>
      <w:r>
        <w:t xml:space="preserve"> Roma</w:t>
      </w:r>
    </w:p>
    <w:sectPr w:rsidR="008773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06E94"/>
    <w:multiLevelType w:val="hybridMultilevel"/>
    <w:tmpl w:val="F4646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34855"/>
    <w:multiLevelType w:val="multilevel"/>
    <w:tmpl w:val="2D72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30576"/>
    <w:multiLevelType w:val="hybridMultilevel"/>
    <w:tmpl w:val="59EE8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56"/>
    <w:rsid w:val="0014045A"/>
    <w:rsid w:val="002249D8"/>
    <w:rsid w:val="0022637B"/>
    <w:rsid w:val="002A4DAF"/>
    <w:rsid w:val="002D7090"/>
    <w:rsid w:val="00405982"/>
    <w:rsid w:val="00426156"/>
    <w:rsid w:val="0047357C"/>
    <w:rsid w:val="00713C5B"/>
    <w:rsid w:val="00753C81"/>
    <w:rsid w:val="008773FE"/>
    <w:rsid w:val="008E379D"/>
    <w:rsid w:val="009D5458"/>
    <w:rsid w:val="00A02810"/>
    <w:rsid w:val="00B21B9F"/>
    <w:rsid w:val="00B66FA4"/>
    <w:rsid w:val="00CF1656"/>
    <w:rsid w:val="00D02451"/>
    <w:rsid w:val="00DA3636"/>
    <w:rsid w:val="00DB3710"/>
    <w:rsid w:val="00DC78C4"/>
    <w:rsid w:val="00DD4709"/>
    <w:rsid w:val="00E7064B"/>
    <w:rsid w:val="00E86662"/>
    <w:rsid w:val="00F8389F"/>
    <w:rsid w:val="00FB0A6A"/>
    <w:rsid w:val="00FC6D6D"/>
    <w:rsid w:val="00FF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43B5"/>
  <w15:chartTrackingRefBased/>
  <w15:docId w15:val="{D0843A83-5835-4F7B-B5D9-55F52C5A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6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6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6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6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6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6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6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6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6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6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6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6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615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615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61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61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61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61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6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6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6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6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6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61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61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615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6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615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615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C78C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7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boctuelenchi.giustizia.it/gestione-albi/home" TargetMode="External"/><Relationship Id="rId5" Type="http://schemas.openxmlformats.org/officeDocument/2006/relationships/hyperlink" Target="https://www.psy.it/wp-content/uploads/2023/10/DECRETO_109_2023-cartabia-ct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Awad</dc:creator>
  <cp:keywords/>
  <dc:description/>
  <cp:lastModifiedBy>Alessandra Rufo</cp:lastModifiedBy>
  <cp:revision>4</cp:revision>
  <dcterms:created xsi:type="dcterms:W3CDTF">2026-03-20T09:50:00Z</dcterms:created>
  <dcterms:modified xsi:type="dcterms:W3CDTF">2026-03-24T11:28:00Z</dcterms:modified>
</cp:coreProperties>
</file>